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209F8A52" w:rsidR="002062A7" w:rsidRPr="00957713" w:rsidRDefault="007303D9" w:rsidP="00270DD8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957713">
        <w:rPr>
          <w:color w:val="385623" w:themeColor="accent6" w:themeShade="80"/>
          <w:sz w:val="40"/>
        </w:rPr>
        <w:t>The Law of Total Probability</w:t>
      </w:r>
    </w:p>
    <w:p w14:paraId="674EBAD8" w14:textId="53D7FC07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957713">
        <w:rPr>
          <w:rFonts w:cs="Arial"/>
        </w:rPr>
        <w:t>Quick Guide</w:t>
      </w:r>
    </w:p>
    <w:p w14:paraId="10C58168" w14:textId="2EA670A6" w:rsidR="00EC193E" w:rsidRPr="00324665" w:rsidRDefault="0093528E" w:rsidP="003246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3B8F0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EC0F522" w14:textId="77777777" w:rsidR="007303D9" w:rsidRDefault="007303D9" w:rsidP="007303D9">
      <w:pPr>
        <w:rPr>
          <w:rFonts w:eastAsiaTheme="minorEastAsia"/>
        </w:rPr>
      </w:pPr>
      <w:r>
        <w:t xml:space="preserve">The (discrete) Law of Total Probability (also called the Law of Alternatives) states that if events </w:t>
      </w:r>
      <m:oMath>
        <m:r>
          <m:rPr>
            <m:lit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: n=1, 2,…</m:t>
        </m:r>
        <m:r>
          <m:rPr>
            <m:lit/>
          </m:rPr>
          <w:rPr>
            <w:rFonts w:ascii="Cambria Math" w:hAnsi="Cambria Math"/>
          </w:rPr>
          <m:t>}</m:t>
        </m:r>
      </m:oMath>
      <w:r>
        <w:rPr>
          <w:rFonts w:eastAsiaTheme="minorEastAsia"/>
        </w:rPr>
        <w:t xml:space="preserve"> are pairwise dijoint and their union covers the entire sample space, then </w:t>
      </w:r>
    </w:p>
    <w:p w14:paraId="1B88CAF5" w14:textId="77777777" w:rsidR="007303D9" w:rsidRPr="006B6CE9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∩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</m:oMath>
      </m:oMathPara>
    </w:p>
    <w:p w14:paraId="69DED5EB" w14:textId="7777777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provided</w:t>
      </w:r>
      <w:proofErr w:type="gramEnd"/>
      <w:r>
        <w:rPr>
          <w:rFonts w:eastAsiaTheme="minorEastAsia"/>
        </w:rPr>
        <w:t xml:space="preserve"> each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is measurable and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exists in the same probability space).</w:t>
      </w:r>
    </w:p>
    <w:p w14:paraId="3081B282" w14:textId="77777777" w:rsidR="007303D9" w:rsidRDefault="007303D9" w:rsidP="007303D9">
      <w:pPr>
        <w:rPr>
          <w:rFonts w:eastAsiaTheme="minorEastAsia"/>
        </w:rPr>
      </w:pPr>
    </w:p>
    <w:p w14:paraId="09F526DC" w14:textId="7F392A19" w:rsidR="00957713" w:rsidRDefault="003016A2" w:rsidP="007303D9">
      <w:pPr>
        <w:pStyle w:val="Heading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Steps:</w:t>
      </w:r>
    </w:p>
    <w:p w14:paraId="71AC442F" w14:textId="3283620D" w:rsidR="00C860DC" w:rsidRPr="00C860DC" w:rsidRDefault="003016A2" w:rsidP="003016A2">
      <w:pPr>
        <w:pStyle w:val="ListParagraph"/>
        <w:numPr>
          <w:ilvl w:val="0"/>
          <w:numId w:val="49"/>
        </w:numPr>
        <w:rPr>
          <w:rFonts w:eastAsiaTheme="minorEastAsia"/>
        </w:rPr>
      </w:pPr>
      <w:r>
        <w:t>Check if you can use the law of total probability. This means you need to decide whether</w:t>
      </w:r>
      <w:r w:rsidR="00C860DC">
        <w:t xml:space="preserve"> </w:t>
      </w:r>
      <m:oMath>
        <m:r>
          <m:rPr>
            <m:lit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: n=1, 2,…</m:t>
        </m:r>
        <m:r>
          <m:rPr>
            <m:lit/>
          </m:rPr>
          <w:rPr>
            <w:rFonts w:ascii="Cambria Math" w:hAnsi="Cambria Math"/>
          </w:rPr>
          <m:t>}</m:t>
        </m:r>
      </m:oMath>
      <w:r w:rsidR="00C860DC">
        <w:rPr>
          <w:rFonts w:eastAsiaTheme="minorEastAsia"/>
        </w:rPr>
        <w:t xml:space="preserve"> are pairwise disjoint, measurable, their union covers the entire sample space, and if </w:t>
      </w:r>
      <m:oMath>
        <m:r>
          <w:rPr>
            <w:rFonts w:ascii="Cambria Math" w:eastAsiaTheme="minorEastAsia" w:hAnsi="Cambria Math"/>
          </w:rPr>
          <m:t>A</m:t>
        </m:r>
      </m:oMath>
      <w:r w:rsidR="00C860DC">
        <w:rPr>
          <w:rFonts w:eastAsiaTheme="minorEastAsia"/>
        </w:rPr>
        <w:t xml:space="preserve"> exists in the same probability space.</w:t>
      </w:r>
    </w:p>
    <w:p w14:paraId="4F10EBEE" w14:textId="09A88589" w:rsidR="003016A2" w:rsidRPr="00D00E86" w:rsidRDefault="003016A2" w:rsidP="003016A2">
      <w:pPr>
        <w:pStyle w:val="ListParagraph"/>
        <w:numPr>
          <w:ilvl w:val="0"/>
          <w:numId w:val="49"/>
        </w:numPr>
        <w:rPr>
          <w:rFonts w:eastAsiaTheme="minorEastAsia"/>
        </w:rPr>
      </w:pPr>
      <w:r>
        <w:t xml:space="preserve"> </w:t>
      </w:r>
      <w:r w:rsidR="00D00E86">
        <w:t xml:space="preserve">Write down your information. This will (usually) either be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D00E86">
        <w:rPr>
          <w:rFonts w:eastAsiaTheme="minorEastAsia"/>
        </w:rPr>
        <w:t xml:space="preserve"> for all </w:t>
      </w:r>
      <m:oMath>
        <m:r>
          <w:rPr>
            <w:rFonts w:ascii="Cambria Math" w:eastAsiaTheme="minorEastAsia" w:hAnsi="Cambria Math"/>
          </w:rPr>
          <m:t>n</m:t>
        </m:r>
      </m:oMath>
      <w:r w:rsidR="00D00E86">
        <w:rPr>
          <w:rFonts w:eastAsiaTheme="minorEastAsia"/>
        </w:rPr>
        <w:t xml:space="preserve">, or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 w:rsidR="00D00E86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 w:rsidR="00D00E86">
        <w:rPr>
          <w:rFonts w:eastAsiaTheme="minorEastAsia"/>
        </w:rPr>
        <w:t xml:space="preserve"> for all </w:t>
      </w:r>
      <m:oMath>
        <m:r>
          <w:rPr>
            <w:rFonts w:ascii="Cambria Math" w:eastAsiaTheme="minorEastAsia" w:hAnsi="Cambria Math"/>
          </w:rPr>
          <m:t>n.</m:t>
        </m:r>
      </m:oMath>
      <w:r w:rsidR="00D00E86">
        <w:rPr>
          <w:rFonts w:eastAsiaTheme="minorEastAsia"/>
        </w:rPr>
        <w:t xml:space="preserve"> In some cases, you may be given </w:t>
      </w:r>
      <m:oMath>
        <m:r>
          <w:rPr>
            <w:rFonts w:ascii="Cambria Math" w:eastAsiaTheme="minorEastAsia" w:hAnsi="Cambria Math"/>
          </w:rPr>
          <m:t>P(A)</m:t>
        </m:r>
      </m:oMath>
      <w:r w:rsidR="00D00E86">
        <w:rPr>
          <w:rFonts w:eastAsiaTheme="minorEastAsia"/>
        </w:rPr>
        <w:t xml:space="preserve"> and asked to work out one of the other probabilities, in which case you will need to write down all the infromation you have, and then rearrange the equation </w:t>
      </w:r>
      <w:r w:rsidR="00CC180B">
        <w:rPr>
          <w:rFonts w:eastAsiaTheme="minorEastAsia"/>
        </w:rPr>
        <w:t>after step 3.</w:t>
      </w:r>
    </w:p>
    <w:p w14:paraId="5D3BE023" w14:textId="44B6DA51" w:rsidR="00CC180B" w:rsidRPr="00A922FA" w:rsidRDefault="00CC180B" w:rsidP="00A922FA">
      <w:pPr>
        <w:pStyle w:val="ListParagraph"/>
        <w:numPr>
          <w:ilvl w:val="0"/>
          <w:numId w:val="49"/>
        </w:numPr>
        <w:rPr>
          <w:rFonts w:eastAsiaTheme="minorEastAsia"/>
        </w:rPr>
      </w:pPr>
      <w:r>
        <w:rPr>
          <w:rFonts w:eastAsiaTheme="minorEastAsia"/>
        </w:rPr>
        <w:t xml:space="preserve">Plug your information into one of the two equations, either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supHide m:val="1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n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ctrlPr>
              <w:rPr>
                <w:rFonts w:ascii="Cambria Math" w:eastAsiaTheme="minorEastAsia" w:hAnsi="Cambria Math"/>
                <w:i/>
              </w:rPr>
            </m:ctrlPr>
          </m:sup>
          <m:e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∩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nary>
      </m:oMath>
      <w:r>
        <w:rPr>
          <w:rFonts w:eastAsiaTheme="minorEastAsia"/>
        </w:rPr>
        <w:t xml:space="preserve">, or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hr m:val="∑"/>
            <m:supHide m:val="1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n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ctrlPr>
              <w:rPr>
                <w:rFonts w:ascii="Cambria Math" w:eastAsiaTheme="minorEastAsia" w:hAnsi="Cambria Math"/>
                <w:i/>
              </w:rPr>
            </m:ctrlPr>
          </m:sup>
          <m:e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nary>
      </m:oMath>
      <w:r w:rsidR="00A922FA">
        <w:rPr>
          <w:rFonts w:eastAsiaTheme="minorEastAsia"/>
        </w:rPr>
        <w:t>.</w:t>
      </w:r>
    </w:p>
    <w:p w14:paraId="420ED6E8" w14:textId="77777777" w:rsidR="007303D9" w:rsidRPr="00DE2074" w:rsidRDefault="007303D9" w:rsidP="007303D9">
      <w:pPr>
        <w:rPr>
          <w:rFonts w:eastAsiaTheme="minorEastAsia"/>
        </w:rPr>
      </w:pPr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E882" w14:textId="77777777" w:rsidR="00881E5C" w:rsidRDefault="00881E5C" w:rsidP="00BA5D25">
      <w:r>
        <w:separator/>
      </w:r>
    </w:p>
  </w:endnote>
  <w:endnote w:type="continuationSeparator" w:id="0">
    <w:p w14:paraId="0FC1B5A7" w14:textId="77777777" w:rsidR="00881E5C" w:rsidRDefault="00881E5C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BAE076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1D2D" w14:textId="77777777" w:rsidR="00881E5C" w:rsidRDefault="00881E5C" w:rsidP="00BA5D25">
      <w:r>
        <w:separator/>
      </w:r>
    </w:p>
  </w:footnote>
  <w:footnote w:type="continuationSeparator" w:id="0">
    <w:p w14:paraId="296CCC96" w14:textId="77777777" w:rsidR="00881E5C" w:rsidRDefault="00881E5C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1CEA4EDE" w:rsidR="00BA5D25" w:rsidRDefault="003544FC" w:rsidP="007303D9">
    <w:pPr>
      <w:pStyle w:val="Header"/>
      <w:tabs>
        <w:tab w:val="clear" w:pos="4680"/>
        <w:tab w:val="clear" w:pos="9360"/>
        <w:tab w:val="left" w:pos="4845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5168" behindDoc="1" locked="0" layoutInCell="1" allowOverlap="1" wp14:anchorId="0BA97FF7" wp14:editId="158C9772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7E2"/>
    <w:multiLevelType w:val="hybridMultilevel"/>
    <w:tmpl w:val="CAA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678E"/>
    <w:multiLevelType w:val="hybridMultilevel"/>
    <w:tmpl w:val="483C7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E385B"/>
    <w:multiLevelType w:val="hybridMultilevel"/>
    <w:tmpl w:val="7BECA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7AB"/>
    <w:multiLevelType w:val="hybridMultilevel"/>
    <w:tmpl w:val="84043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7163A"/>
    <w:multiLevelType w:val="hybridMultilevel"/>
    <w:tmpl w:val="AC8A9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768CA"/>
    <w:multiLevelType w:val="hybridMultilevel"/>
    <w:tmpl w:val="C2864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95B84"/>
    <w:multiLevelType w:val="hybridMultilevel"/>
    <w:tmpl w:val="B0C618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A02F7"/>
    <w:multiLevelType w:val="hybridMultilevel"/>
    <w:tmpl w:val="61521F30"/>
    <w:lvl w:ilvl="0" w:tplc="BAC47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C65CFC"/>
    <w:multiLevelType w:val="hybridMultilevel"/>
    <w:tmpl w:val="D2FEF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91844"/>
    <w:multiLevelType w:val="hybridMultilevel"/>
    <w:tmpl w:val="50BCD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22"/>
  </w:num>
  <w:num w:numId="5">
    <w:abstractNumId w:val="23"/>
  </w:num>
  <w:num w:numId="6">
    <w:abstractNumId w:val="18"/>
  </w:num>
  <w:num w:numId="7">
    <w:abstractNumId w:val="2"/>
  </w:num>
  <w:num w:numId="8">
    <w:abstractNumId w:val="17"/>
  </w:num>
  <w:num w:numId="9">
    <w:abstractNumId w:val="33"/>
  </w:num>
  <w:num w:numId="10">
    <w:abstractNumId w:val="12"/>
  </w:num>
  <w:num w:numId="11">
    <w:abstractNumId w:val="45"/>
  </w:num>
  <w:num w:numId="12">
    <w:abstractNumId w:val="14"/>
  </w:num>
  <w:num w:numId="13">
    <w:abstractNumId w:val="9"/>
  </w:num>
  <w:num w:numId="14">
    <w:abstractNumId w:val="38"/>
  </w:num>
  <w:num w:numId="15">
    <w:abstractNumId w:val="21"/>
  </w:num>
  <w:num w:numId="16">
    <w:abstractNumId w:val="3"/>
  </w:num>
  <w:num w:numId="17">
    <w:abstractNumId w:val="48"/>
  </w:num>
  <w:num w:numId="18">
    <w:abstractNumId w:val="36"/>
  </w:num>
  <w:num w:numId="19">
    <w:abstractNumId w:val="44"/>
  </w:num>
  <w:num w:numId="20">
    <w:abstractNumId w:val="13"/>
  </w:num>
  <w:num w:numId="21">
    <w:abstractNumId w:val="27"/>
  </w:num>
  <w:num w:numId="22">
    <w:abstractNumId w:val="11"/>
  </w:num>
  <w:num w:numId="23">
    <w:abstractNumId w:val="46"/>
  </w:num>
  <w:num w:numId="24">
    <w:abstractNumId w:val="4"/>
  </w:num>
  <w:num w:numId="25">
    <w:abstractNumId w:val="1"/>
  </w:num>
  <w:num w:numId="26">
    <w:abstractNumId w:val="32"/>
  </w:num>
  <w:num w:numId="27">
    <w:abstractNumId w:val="19"/>
  </w:num>
  <w:num w:numId="28">
    <w:abstractNumId w:val="40"/>
  </w:num>
  <w:num w:numId="29">
    <w:abstractNumId w:val="8"/>
  </w:num>
  <w:num w:numId="30">
    <w:abstractNumId w:val="10"/>
  </w:num>
  <w:num w:numId="31">
    <w:abstractNumId w:val="20"/>
  </w:num>
  <w:num w:numId="32">
    <w:abstractNumId w:val="16"/>
  </w:num>
  <w:num w:numId="33">
    <w:abstractNumId w:val="41"/>
  </w:num>
  <w:num w:numId="34">
    <w:abstractNumId w:val="35"/>
  </w:num>
  <w:num w:numId="35">
    <w:abstractNumId w:val="37"/>
  </w:num>
  <w:num w:numId="36">
    <w:abstractNumId w:val="43"/>
  </w:num>
  <w:num w:numId="37">
    <w:abstractNumId w:val="0"/>
  </w:num>
  <w:num w:numId="38">
    <w:abstractNumId w:val="42"/>
  </w:num>
  <w:num w:numId="39">
    <w:abstractNumId w:val="7"/>
  </w:num>
  <w:num w:numId="40">
    <w:abstractNumId w:val="39"/>
  </w:num>
  <w:num w:numId="41">
    <w:abstractNumId w:val="5"/>
  </w:num>
  <w:num w:numId="42">
    <w:abstractNumId w:val="30"/>
  </w:num>
  <w:num w:numId="43">
    <w:abstractNumId w:val="47"/>
  </w:num>
  <w:num w:numId="44">
    <w:abstractNumId w:val="26"/>
  </w:num>
  <w:num w:numId="45">
    <w:abstractNumId w:val="25"/>
  </w:num>
  <w:num w:numId="46">
    <w:abstractNumId w:val="6"/>
  </w:num>
  <w:num w:numId="47">
    <w:abstractNumId w:val="34"/>
  </w:num>
  <w:num w:numId="48">
    <w:abstractNumId w:val="3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D38E5"/>
    <w:rsid w:val="001022A2"/>
    <w:rsid w:val="00113516"/>
    <w:rsid w:val="0012063C"/>
    <w:rsid w:val="0016797A"/>
    <w:rsid w:val="0017263D"/>
    <w:rsid w:val="001B2487"/>
    <w:rsid w:val="001F3144"/>
    <w:rsid w:val="00237EAF"/>
    <w:rsid w:val="00247C49"/>
    <w:rsid w:val="00264E2C"/>
    <w:rsid w:val="00270DD8"/>
    <w:rsid w:val="003016A2"/>
    <w:rsid w:val="00324665"/>
    <w:rsid w:val="00337428"/>
    <w:rsid w:val="003544FC"/>
    <w:rsid w:val="003707AE"/>
    <w:rsid w:val="003A09C6"/>
    <w:rsid w:val="003A2989"/>
    <w:rsid w:val="004042CC"/>
    <w:rsid w:val="0046001A"/>
    <w:rsid w:val="004852F0"/>
    <w:rsid w:val="004F0FA0"/>
    <w:rsid w:val="0050643E"/>
    <w:rsid w:val="00534C63"/>
    <w:rsid w:val="0054370A"/>
    <w:rsid w:val="005675B5"/>
    <w:rsid w:val="0057648A"/>
    <w:rsid w:val="005B6EC5"/>
    <w:rsid w:val="00632F5A"/>
    <w:rsid w:val="00636982"/>
    <w:rsid w:val="00642030"/>
    <w:rsid w:val="0069086B"/>
    <w:rsid w:val="006A0D79"/>
    <w:rsid w:val="006B283C"/>
    <w:rsid w:val="006D0093"/>
    <w:rsid w:val="006E2A57"/>
    <w:rsid w:val="006E31B1"/>
    <w:rsid w:val="00717B37"/>
    <w:rsid w:val="007303D9"/>
    <w:rsid w:val="007426E0"/>
    <w:rsid w:val="007445A2"/>
    <w:rsid w:val="00747199"/>
    <w:rsid w:val="007C4798"/>
    <w:rsid w:val="008243D6"/>
    <w:rsid w:val="00840AB1"/>
    <w:rsid w:val="00854CF1"/>
    <w:rsid w:val="00881E5C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57713"/>
    <w:rsid w:val="0097759E"/>
    <w:rsid w:val="00980A71"/>
    <w:rsid w:val="0098325A"/>
    <w:rsid w:val="009C736F"/>
    <w:rsid w:val="00A65B41"/>
    <w:rsid w:val="00A817E0"/>
    <w:rsid w:val="00A91C93"/>
    <w:rsid w:val="00A922FA"/>
    <w:rsid w:val="00AB47C4"/>
    <w:rsid w:val="00AF513C"/>
    <w:rsid w:val="00B340FB"/>
    <w:rsid w:val="00B53187"/>
    <w:rsid w:val="00B80074"/>
    <w:rsid w:val="00B903D8"/>
    <w:rsid w:val="00BA5D25"/>
    <w:rsid w:val="00C050DC"/>
    <w:rsid w:val="00C06C3E"/>
    <w:rsid w:val="00C07EF3"/>
    <w:rsid w:val="00C11E9C"/>
    <w:rsid w:val="00C32B38"/>
    <w:rsid w:val="00C446C3"/>
    <w:rsid w:val="00C557D3"/>
    <w:rsid w:val="00C640B2"/>
    <w:rsid w:val="00C860DC"/>
    <w:rsid w:val="00C96705"/>
    <w:rsid w:val="00CC180B"/>
    <w:rsid w:val="00CE323F"/>
    <w:rsid w:val="00D00E86"/>
    <w:rsid w:val="00D27F74"/>
    <w:rsid w:val="00D3123A"/>
    <w:rsid w:val="00D31B1F"/>
    <w:rsid w:val="00D33B3A"/>
    <w:rsid w:val="00D63FDA"/>
    <w:rsid w:val="00D8122A"/>
    <w:rsid w:val="00DC781F"/>
    <w:rsid w:val="00E87EFA"/>
    <w:rsid w:val="00EB5E90"/>
    <w:rsid w:val="00EC193E"/>
    <w:rsid w:val="00EE74FD"/>
    <w:rsid w:val="00F2395B"/>
    <w:rsid w:val="00F40955"/>
    <w:rsid w:val="00F54AA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8</cp:revision>
  <cp:lastPrinted>2021-05-05T09:09:00Z</cp:lastPrinted>
  <dcterms:created xsi:type="dcterms:W3CDTF">2022-06-28T10:08:00Z</dcterms:created>
  <dcterms:modified xsi:type="dcterms:W3CDTF">2022-06-28T10:13:00Z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